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Media Statement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To: Editors and Health Journalists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Date: Thursday, 8 June 2023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Free State Records the Second Death of Cholera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Free State Department of Health can confirm that a Second person has died of Cholera. The patient stayed at Parys in the Free State.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This is a 42 year old female who got admitted at Boitumelo Hospital in Kroonstad  and unfortunately died. The patient is confirmed to have died and thereafter laboratory tests confirmed that the death is attributable to Cholera.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Free State MEC for Health, Ms. Mathabo Leeto has sent her condolences to the family and officials of the Department visited the family today to break the news.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Department would like to take this opportunity to urge the public to believe information about causes of death that are confirmed by laboratory tests and not opinions that are not scientifically supported by facts.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Department of Health continues to make a clarion call for all people to continue washing their hands and boiling water before they can consume it. If anyone experiences any slight symptoms of Diarrhoea they must please go to our health facilities to get help as a matter of urgency.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End.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Issued by the Free State Department of Health.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Further enquiries can be directed to Mondli Mvambi, Spokesperson: Free State Department of Health, 082 043 3744</w:t>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